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4200-defa14a_nuvve.htm"/>
      <w:bookmarkStart w:id="1" w:name="ksea0294200defa14a_nuvv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Filed by the Registrant</w:t>
            </w:r>
          </w:p>
        </w:tc>
        <w:tc>
          <w:tcPr>
            <w:tcW w:w="245" w:type="dxa"/>
            <w:tcBorders/>
            <w:vAlign w:val="center"/>
          </w:tcPr>
          <w:p>
            <w:pPr>
              <w:pStyle w:val="TableContents"/>
              <w:bidi w:val="0"/>
              <w:spacing w:before="0" w:after="283"/>
              <w:ind w:left="0" w:right="0" w:hanging="200"/>
              <w:jc w:val="both"/>
              <w:rPr/>
            </w:pPr>
            <w:r>
              <w:rPr/>
              <w:t>☒</w:t>
            </w:r>
          </w:p>
        </w:tc>
      </w:tr>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NUVVE HOLDING CORP.</w:t>
        <w:br/>
      </w: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both"/>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June 9, 2026</w:t>
      </w:r>
    </w:p>
    <w:p>
      <w:pPr>
        <w:pStyle w:val="TextBody"/>
        <w:bidi w:val="0"/>
        <w:spacing w:before="0" w:after="0"/>
        <w:ind w:left="0" w:right="0" w:hanging="0"/>
        <w:jc w:val="center"/>
        <w:rPr>
          <w:caps w:val="false"/>
          <w:smallCaps w:val="false"/>
        </w:rPr>
      </w:pPr>
      <w:r>
        <w:rPr>
          <w:caps w:val="false"/>
          <w:smallCaps w:val="false"/>
        </w:rPr>
        <w:t> </w:t>
      </w:r>
    </w:p>
    <w:tbl>
      <w:tblPr>
        <w:tblW w:w="4115" w:type="dxa"/>
        <w:jc w:val="left"/>
        <w:tblInd w:w="0" w:type="dxa"/>
        <w:tblLayout w:type="fixed"/>
        <w:tblCellMar>
          <w:top w:w="0" w:type="dxa"/>
          <w:left w:w="0" w:type="dxa"/>
          <w:bottom w:w="30" w:type="dxa"/>
          <w:right w:w="0" w:type="dxa"/>
        </w:tblCellMar>
      </w:tblPr>
      <w:tblGrid>
        <w:gridCol w:w="4115"/>
      </w:tblGrid>
      <w:tr>
        <w:trPr/>
        <w:tc>
          <w:tcPr>
            <w:tcW w:w="4115" w:type="dxa"/>
            <w:tcBorders>
              <w:bottom w:val="single" w:sz="12" w:space="0" w:color="000000"/>
            </w:tcBorders>
            <w:vAlign w:val="center"/>
          </w:tcPr>
          <w:p>
            <w:pPr>
              <w:pStyle w:val="TableContents"/>
              <w:bidi w:val="0"/>
              <w:spacing w:before="0" w:after="283"/>
              <w:jc w:val="center"/>
              <w:rPr>
                <w:b/>
                <w:sz w:val="20"/>
              </w:rPr>
            </w:pPr>
            <w:r>
              <w:rPr>
                <w:b/>
                <w:sz w:val="20"/>
              </w:rPr>
              <w:t>NUVVE HOLDING CORP.</w:t>
            </w:r>
          </w:p>
        </w:tc>
      </w:tr>
      <w:tr>
        <w:trPr/>
        <w:tc>
          <w:tcPr>
            <w:tcW w:w="4115" w:type="dxa"/>
            <w:tcBorders>
              <w:top w:val="single" w:sz="8" w:space="0" w:color="000000"/>
            </w:tcBorders>
            <w:tcMar>
              <w:top w:w="30" w:type="dxa"/>
              <w:bottom w:w="0" w:type="dxa"/>
            </w:tcMar>
            <w:vAlign w:val="center"/>
          </w:tcPr>
          <w:p>
            <w:pPr>
              <w:pStyle w:val="TableContents"/>
              <w:bidi w:val="0"/>
              <w:spacing w:before="0" w:after="283"/>
              <w:jc w:val="center"/>
              <w:rPr>
                <w:sz w:val="20"/>
              </w:rPr>
            </w:pPr>
            <w:r>
              <w:rPr>
                <w:sz w:val="20"/>
              </w:rPr>
              <w:t>(Exact Name of Registrant as Specified in Charter)</w:t>
            </w:r>
          </w:p>
        </w:tc>
      </w:tr>
    </w:tbl>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001-40296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86-1617000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r>
              <w:rPr>
                <w:b/>
                <w:sz w:val="20"/>
              </w:rPr>
              <w:t>2488 Historic Decatur Road, Ste 230</w:t>
              <w:br/>
              <w:t>San Diego, 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92106</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u w:val="single"/>
        </w:rPr>
        <w:t>(619) 456-5161</w:t>
      </w:r>
    </w:p>
    <w:p>
      <w:pPr>
        <w:pStyle w:val="TextBody"/>
        <w:bidi w:val="0"/>
        <w:spacing w:before="0" w:after="283"/>
        <w:jc w:val="left"/>
        <w:rPr/>
      </w:pPr>
      <w:r>
        <w:rPr/>
        <w:t> </w:t>
      </w:r>
    </w:p>
    <w:p>
      <w:pPr>
        <w:pStyle w:val="TextBody"/>
        <w:bidi w:val="0"/>
        <w:spacing w:before="0" w:after="283"/>
        <w:jc w:val="left"/>
        <w:rPr/>
      </w:pPr>
      <w:r>
        <w:rPr/>
        <w:t> </w:t>
      </w:r>
    </w:p>
    <w:tbl>
      <w:tblPr>
        <w:tblW w:w="5240" w:type="dxa"/>
        <w:jc w:val="left"/>
        <w:tblInd w:w="0" w:type="dxa"/>
        <w:tblLayout w:type="fixed"/>
        <w:tblCellMar>
          <w:top w:w="30" w:type="dxa"/>
          <w:left w:w="0" w:type="dxa"/>
          <w:bottom w:w="0" w:type="dxa"/>
          <w:right w:w="0" w:type="dxa"/>
        </w:tblCellMar>
      </w:tblPr>
      <w:tblGrid>
        <w:gridCol w:w="5240"/>
      </w:tblGrid>
      <w:tr>
        <w:trPr/>
        <w:tc>
          <w:tcPr>
            <w:tcW w:w="5240" w:type="dxa"/>
            <w:tcBorders>
              <w:top w:val="single" w:sz="12" w:space="0" w:color="000000"/>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680"/>
        <w:gridCol w:w="60"/>
        <w:gridCol w:w="1460"/>
        <w:gridCol w:w="60"/>
        <w:gridCol w:w="3710"/>
      </w:tblGrid>
      <w:tr>
        <w:trPr/>
        <w:tc>
          <w:tcPr>
            <w:tcW w:w="36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80" w:type="dxa"/>
            <w:tcBorders>
              <w:top w:val="single" w:sz="8" w:space="0" w:color="000000"/>
            </w:tcBorders>
            <w:shd w:fill="CCEEFF" w:val="clear"/>
            <w:tcMar>
              <w:top w:w="28" w:type="dxa"/>
              <w:bottom w:w="0" w:type="dxa"/>
            </w:tcMar>
            <w:vAlign w:val="center"/>
          </w:tcPr>
          <w:p>
            <w:pPr>
              <w:pStyle w:val="TableContents"/>
              <w:bidi w:val="0"/>
              <w:spacing w:before="0" w:after="283"/>
              <w:jc w:val="center"/>
              <w:rPr>
                <w:sz w:val="20"/>
              </w:rPr>
            </w:pPr>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top w:val="single" w:sz="8" w:space="0" w:color="000000"/>
            </w:tcBorders>
            <w:shd w:fill="CCEEFF" w:val="clear"/>
            <w:tcMar>
              <w:top w:w="28" w:type="dxa"/>
              <w:bottom w:w="0" w:type="dxa"/>
            </w:tcMar>
            <w:vAlign w:val="center"/>
          </w:tcPr>
          <w:p>
            <w:pPr>
              <w:pStyle w:val="TableContents"/>
              <w:bidi w:val="0"/>
              <w:spacing w:before="0" w:after="283"/>
              <w:jc w:val="center"/>
              <w:rPr>
                <w:sz w:val="20"/>
              </w:rPr>
            </w:pPr>
            <w:r>
              <w:rPr>
                <w:sz w:val="20"/>
              </w:rPr>
              <w:t>NVVE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top w:val="single" w:sz="8" w:space="0" w:color="000000"/>
            </w:tcBorders>
            <w:shd w:fill="CCEEFF" w:val="clear"/>
            <w:tcMar>
              <w:top w:w="28" w:type="dxa"/>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Submission of Matters to a Vote of Security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in Item 8.01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Nuvve Holding Corp. (the “Company”) convened a special meeting of stockholders (the “Special Meeting”) to vote upon the proposals set forth in the definitive proxy statement on Schedule 14A filed by the Company with the Securities and Exchange Commission on May 29, 2026 (the “Proxy Statement”). There were 2,926,864 shares of the Company’s common stock, par value $0.0001, present or represented by proxy at the Special Meeting, which did not constitute a quorum under the Company’s Amended and Restated Bylaws. Accordingly, the Company adjourned the Special Meeting to June 15, 2026 at 1 p.m. Eastern Time. The adjournment provides the Company with additional time to solicit the necessary proxies from its stockholders to achieve a quorum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close of business on April 17, 2026 will remain the record date for determination of the stockholders entitled to vote at the Special Meeting. Stockholders who have already voted do not need to recast their votes unless they wish to change their votes. Proxies previously submitted will be voted at the reconvened Special Meeting unless properly revoked. Stockholders who have not already voted or wish to change their vote are encouraged to do so promptly using the instructions provided in their voting instruction form or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urges all stockholders to vote their shares immediately to ensure their votes count in time for the reconvened special meeting on June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(d)Exhibits.</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995"/>
        <w:gridCol w:w="60"/>
        <w:gridCol w:w="8975"/>
      </w:tblGrid>
      <w:tr>
        <w:trPr/>
        <w:tc>
          <w:tcPr>
            <w:tcW w:w="995"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97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5"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9, 2026</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both"/>
              <w:rPr>
                <w:sz w:val="20"/>
              </w:rPr>
            </w:pPr>
            <w:r>
              <w:rPr>
                <w:sz w:val="20"/>
              </w:rPr>
              <w:t>NUVVE HOLDING CORP.</w:t>
            </w:r>
          </w:p>
        </w:tc>
      </w:tr>
      <w:tr>
        <w:trPr/>
        <w:tc>
          <w:tcPr>
            <w:tcW w:w="75" w:type="dxa"/>
            <w:tcBorders/>
            <w:vAlign w:val="center"/>
          </w:tcPr>
          <w:p>
            <w:pPr>
              <w:pStyle w:val="TableContents"/>
              <w:bidi w:val="0"/>
              <w:spacing w:before="0" w:after="283"/>
              <w:jc w:val="both"/>
              <w:rPr/>
            </w:pPr>
            <w:r>
              <w:rPr/>
              <w:t> </w:t>
            </w:r>
          </w:p>
        </w:tc>
        <w:tc>
          <w:tcPr>
            <w:tcW w:w="232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sz w:val="20"/>
              </w:rPr>
            </w:pPr>
            <w:r>
              <w:rPr>
                <w:sz w:val="20"/>
              </w:rPr>
              <w:t>By: </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Gregory Poilasne</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top w:val="single" w:sz="8" w:space="0" w:color="000000"/>
            </w:tcBorders>
            <w:tcMar>
              <w:top w:w="28" w:type="dxa"/>
            </w:tcMar>
            <w:vAlign w:val="center"/>
          </w:tcPr>
          <w:p>
            <w:pPr>
              <w:pStyle w:val="TableContents"/>
              <w:bidi w:val="0"/>
              <w:spacing w:before="0" w:after="283"/>
              <w:jc w:val="both"/>
              <w:rPr>
                <w:sz w:val="20"/>
              </w:rPr>
            </w:pPr>
            <w:r>
              <w:rPr>
                <w:sz w:val="20"/>
              </w:rPr>
              <w:t>Gregory Poilasne</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794</Words>
  <Characters>4258</Characters>
  <CharactersWithSpaces>5066</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